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B28D" w14:textId="6596A7C8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DD1D8C">
        <w:rPr>
          <w:rFonts w:asciiTheme="minorHAnsi" w:hAnsiTheme="minorHAnsi" w:cstheme="minorHAnsi"/>
          <w:b/>
          <w:sz w:val="28"/>
          <w:szCs w:val="22"/>
        </w:rPr>
        <w:t>5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6E6AB4E5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DD1D8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2C39ABD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4173754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E27C93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2F8DA387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957F1">
        <w:rPr>
          <w:rFonts w:asciiTheme="minorHAnsi" w:hAnsiTheme="minorHAnsi" w:cstheme="minorHAnsi"/>
        </w:rPr>
        <w:t xml:space="preserve">e Parti attribuiscono alla </w:t>
      </w:r>
      <w:r w:rsidR="001957F1" w:rsidRPr="005F1152">
        <w:rPr>
          <w:rFonts w:asciiTheme="minorHAnsi" w:hAnsiTheme="minorHAnsi" w:cstheme="minorHAnsi"/>
        </w:rPr>
        <w:t xml:space="preserve">formazione continua una </w:t>
      </w:r>
      <w:r w:rsidR="001957F1">
        <w:rPr>
          <w:rFonts w:asciiTheme="minorHAnsi" w:hAnsiTheme="minorHAnsi" w:cstheme="minorHAnsi"/>
        </w:rPr>
        <w:t>funzione</w:t>
      </w:r>
      <w:r w:rsidR="001957F1"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7EA6C3D2" w14:textId="77777777" w:rsidR="00DD1D8C" w:rsidRPr="005F1152" w:rsidRDefault="00DD1D8C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27D555E0" w14:textId="7E7AA422" w:rsidR="00AB340E" w:rsidRPr="00DD1D8C" w:rsidRDefault="001957F1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DD1D8C">
        <w:rPr>
          <w:rFonts w:asciiTheme="minorHAnsi" w:hAnsiTheme="minorHAnsi" w:cstheme="minorHAnsi"/>
          <w:color w:val="auto"/>
          <w:sz w:val="22"/>
          <w:szCs w:val="22"/>
        </w:rPr>
        <w:t>Fondimpresa</w:t>
      </w:r>
      <w:proofErr w:type="spellEnd"/>
      <w:r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ha emanato l’</w:t>
      </w:r>
      <w:r w:rsidR="00634CDD" w:rsidRPr="00DD1D8C">
        <w:rPr>
          <w:rFonts w:asciiTheme="minorHAnsi" w:hAnsiTheme="minorHAnsi" w:cstheme="minorHAnsi"/>
          <w:color w:val="auto"/>
          <w:sz w:val="22"/>
          <w:szCs w:val="22"/>
        </w:rPr>
        <w:t>Avviso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n. </w:t>
      </w:r>
      <w:r w:rsidR="00D470A4" w:rsidRPr="00DD1D8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gramStart"/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“</w:t>
      </w:r>
      <w:proofErr w:type="gramEnd"/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Competenze di base e trasversali”</w:t>
      </w:r>
      <w:r w:rsid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,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con il quale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intende finanziare Piani formativi finalizzati allo sviluppo delle competenze di base e trasversali dei lavoratori delle imprese aderenti, successivi alla qualificazione di Cataloghi formativi predisposti dai Soggetti iscritti nell’Elenco dei Soggetti Proponenti del Conto di Sistema a valere sull’Avviso 6/2024.</w:t>
      </w:r>
    </w:p>
    <w:p w14:paraId="7FDCFCE2" w14:textId="77777777" w:rsidR="00DD1D8C" w:rsidRPr="00D470A4" w:rsidRDefault="00DD1D8C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5BDFF2" w14:textId="642429DB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7F1">
        <w:rPr>
          <w:rFonts w:asciiTheme="minorHAnsi" w:hAnsiTheme="minorHAnsi" w:cstheme="minorHAnsi"/>
        </w:rPr>
        <w:t>ra Confindustri</w:t>
      </w:r>
      <w:r w:rsidR="00E74AA2">
        <w:rPr>
          <w:rFonts w:asciiTheme="minorHAnsi" w:hAnsiTheme="minorHAnsi" w:cstheme="minorHAnsi"/>
        </w:rPr>
        <w:t>a</w:t>
      </w:r>
      <w:r w:rsidR="001957F1"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 w:rsidR="001957F1"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5EEBA330" w:rsidR="00E74AA2" w:rsidRPr="00E74AA2" w:rsidRDefault="00E74AA2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</w:t>
      </w:r>
      <w:r w:rsidR="00AC234D">
        <w:rPr>
          <w:rFonts w:asciiTheme="minorHAnsi" w:hAnsiTheme="minorHAnsi" w:cstheme="minorHAnsi"/>
        </w:rPr>
        <w:t xml:space="preserve"> aree</w:t>
      </w:r>
      <w:r>
        <w:rPr>
          <w:rFonts w:asciiTheme="minorHAnsi" w:hAnsiTheme="minorHAnsi" w:cstheme="minorHAnsi"/>
        </w:rPr>
        <w:t xml:space="preserve"> territoriali … … …</w:t>
      </w:r>
    </w:p>
    <w:p w14:paraId="184A2988" w14:textId="0565AE4C" w:rsidR="00DD1D8C" w:rsidRPr="00DD1D8C" w:rsidRDefault="00DD1D8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……………</w:t>
      </w:r>
      <w:r w:rsidRPr="00DD1D8C">
        <w:rPr>
          <w:rFonts w:asciiTheme="minorHAnsi" w:hAnsiTheme="minorHAnsi" w:cstheme="minorHAnsi"/>
        </w:rPr>
        <w:t xml:space="preserve">attesta di essere </w:t>
      </w:r>
      <w:r w:rsidRPr="00DD1D8C">
        <w:rPr>
          <w:rFonts w:asciiTheme="minorHAnsi" w:hAnsiTheme="minorHAnsi" w:cstheme="minorHAnsi"/>
        </w:rPr>
        <w:t>titolar</w:t>
      </w:r>
      <w:r>
        <w:rPr>
          <w:rFonts w:asciiTheme="minorHAnsi" w:hAnsiTheme="minorHAnsi" w:cstheme="minorHAnsi"/>
        </w:rPr>
        <w:t>e</w:t>
      </w:r>
      <w:r w:rsidRPr="00DD1D8C">
        <w:rPr>
          <w:rFonts w:asciiTheme="minorHAnsi" w:hAnsiTheme="minorHAnsi" w:cstheme="minorHAnsi"/>
        </w:rPr>
        <w:t xml:space="preserve"> di un Catalogo formativo inserito nell’elenco dei Cataloghi qualificati. </w:t>
      </w:r>
    </w:p>
    <w:p w14:paraId="238F69CE" w14:textId="750D3F81" w:rsidR="003402AE" w:rsidRPr="009521A5" w:rsidRDefault="0015072D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fabbisogni </w:t>
      </w:r>
      <w:r w:rsidR="00C8139C">
        <w:rPr>
          <w:rFonts w:asciiTheme="minorHAnsi" w:hAnsiTheme="minorHAnsi" w:cstheme="minorHAnsi"/>
        </w:rPr>
        <w:t xml:space="preserve">formativi individuati in relazione agli specifici obiettivi sono rappresentati </w:t>
      </w:r>
      <w:proofErr w:type="gramStart"/>
      <w:r w:rsidR="00C8139C">
        <w:rPr>
          <w:rFonts w:asciiTheme="minorHAnsi" w:hAnsiTheme="minorHAnsi" w:cstheme="minorHAnsi"/>
        </w:rPr>
        <w:t>nel  seguente</w:t>
      </w:r>
      <w:proofErr w:type="gramEnd"/>
      <w:r w:rsidR="00C8139C">
        <w:rPr>
          <w:rFonts w:asciiTheme="minorHAnsi" w:hAnsiTheme="minorHAnsi" w:cstheme="minorHAnsi"/>
        </w:rPr>
        <w:t xml:space="preserve"> schema: </w:t>
      </w:r>
      <w:r w:rsidR="003402AE">
        <w:rPr>
          <w:rFonts w:asciiTheme="minorHAnsi" w:hAnsiTheme="minorHAnsi" w:cstheme="minorHAnsi"/>
        </w:rPr>
        <w:t xml:space="preserve">………. </w:t>
      </w:r>
      <w:r w:rsidR="003402AE" w:rsidRPr="003402AE">
        <w:rPr>
          <w:rFonts w:asciiTheme="minorHAnsi" w:hAnsiTheme="minorHAnsi" w:cstheme="minorHAnsi"/>
          <w:color w:val="FF0000"/>
        </w:rPr>
        <w:t xml:space="preserve">(illustrare </w:t>
      </w:r>
      <w:r w:rsidR="00C8139C">
        <w:rPr>
          <w:rFonts w:asciiTheme="minorHAnsi" w:hAnsiTheme="minorHAnsi" w:cstheme="minorHAnsi"/>
          <w:color w:val="FF0000"/>
        </w:rPr>
        <w:t>schematicamente e sinteticamente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C8139C">
        <w:rPr>
          <w:rFonts w:asciiTheme="minorHAnsi" w:hAnsiTheme="minorHAnsi" w:cstheme="minorHAnsi"/>
          <w:color w:val="FF0000"/>
        </w:rPr>
        <w:t xml:space="preserve">i </w:t>
      </w:r>
      <w:proofErr w:type="gramStart"/>
      <w:r w:rsidR="004B1553">
        <w:rPr>
          <w:rFonts w:asciiTheme="minorHAnsi" w:hAnsiTheme="minorHAnsi" w:cstheme="minorHAnsi"/>
          <w:color w:val="FF0000"/>
        </w:rPr>
        <w:t>gap</w:t>
      </w:r>
      <w:proofErr w:type="gramEnd"/>
      <w:r w:rsidR="00C8139C">
        <w:rPr>
          <w:rFonts w:asciiTheme="minorHAnsi" w:hAnsiTheme="minorHAnsi" w:cstheme="minorHAnsi"/>
          <w:color w:val="FF0000"/>
        </w:rPr>
        <w:t xml:space="preserve"> di competenze</w:t>
      </w:r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in termini </w:t>
      </w:r>
      <w:r w:rsidR="00C8139C">
        <w:rPr>
          <w:rFonts w:asciiTheme="minorHAnsi" w:hAnsiTheme="minorHAnsi" w:cstheme="minorHAnsi"/>
          <w:color w:val="FF0000"/>
        </w:rPr>
        <w:t>di mantenimento dei livelli occupazionali o di occupabilità</w:t>
      </w:r>
      <w:r w:rsidR="003402AE" w:rsidRPr="003402AE">
        <w:rPr>
          <w:rFonts w:asciiTheme="minorHAnsi" w:hAnsiTheme="minorHAnsi" w:cstheme="minorHAnsi"/>
          <w:color w:val="FF0000"/>
        </w:rPr>
        <w:t>)</w:t>
      </w:r>
      <w:r w:rsidR="003402AE" w:rsidRPr="003402AE">
        <w:rPr>
          <w:rFonts w:asciiTheme="minorHAnsi" w:hAnsiTheme="minorHAnsi" w:cstheme="minorHAnsi"/>
        </w:rPr>
        <w:t xml:space="preserve">  </w:t>
      </w:r>
    </w:p>
    <w:p w14:paraId="4FDAD2F6" w14:textId="753A9A8B" w:rsidR="00D13830" w:rsidRPr="00A256C1" w:rsidRDefault="00606296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15FF57BD" w:rsidR="00D13830" w:rsidRPr="00072537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ciascuna azione formativa è prevista la verifica </w:t>
      </w:r>
      <w:r w:rsidR="00AC234D">
        <w:rPr>
          <w:rFonts w:asciiTheme="minorHAnsi" w:hAnsiTheme="minorHAnsi" w:cstheme="minorHAnsi"/>
        </w:rPr>
        <w:t xml:space="preserve">(o la certificazione) </w:t>
      </w:r>
      <w:r>
        <w:rPr>
          <w:rFonts w:asciiTheme="minorHAnsi" w:hAnsiTheme="minorHAnsi" w:cstheme="minorHAnsi"/>
        </w:rPr>
        <w:t>de</w:t>
      </w:r>
      <w:r w:rsidR="00AC234D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apprendiment</w:t>
      </w:r>
      <w:r w:rsidR="00AC23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AC234D">
        <w:rPr>
          <w:rFonts w:asciiTheme="minorHAnsi" w:hAnsiTheme="minorHAnsi" w:cstheme="minorHAnsi"/>
        </w:rPr>
        <w:t xml:space="preserve">acquisiti dai </w:t>
      </w:r>
      <w:r>
        <w:rPr>
          <w:rFonts w:asciiTheme="minorHAnsi" w:hAnsiTheme="minorHAnsi" w:cstheme="minorHAnsi"/>
        </w:rPr>
        <w:t>partecipanti;</w:t>
      </w:r>
    </w:p>
    <w:p w14:paraId="2D15E4CA" w14:textId="34E544D8" w:rsidR="0021685A" w:rsidRPr="00034B84" w:rsidRDefault="0040530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 xml:space="preserve">. 1) eventuali variazioni potranno essere apportate in fase di realizzazione solo previa approvazione del Comitato Paritetico di </w:t>
      </w:r>
      <w:r w:rsidRPr="005C72C2">
        <w:rPr>
          <w:rFonts w:asciiTheme="minorHAnsi" w:hAnsiTheme="minorHAnsi" w:cstheme="minorHAnsi"/>
          <w:iCs/>
        </w:rPr>
        <w:t>Pilotaggio</w:t>
      </w:r>
      <w:r w:rsidR="00034B84" w:rsidRPr="005C72C2">
        <w:rPr>
          <w:rFonts w:asciiTheme="minorHAnsi" w:hAnsiTheme="minorHAnsi" w:cstheme="minorHAnsi"/>
        </w:rPr>
        <w:t>;</w:t>
      </w:r>
    </w:p>
    <w:p w14:paraId="5C98EAFB" w14:textId="4A229E0B" w:rsidR="00D13830" w:rsidRPr="009521A5" w:rsidRDefault="0042579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717B962B" w14:textId="77777777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Comitato di Pilotaggio avrà il compito di verificare in fase di realizzazione l’attuazione di quanto esposto;</w:t>
      </w:r>
    </w:p>
    <w:p w14:paraId="2D3CDA8C" w14:textId="3F6B8C0C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9521A5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9521A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</w:p>
    <w:p w14:paraId="1298E821" w14:textId="77777777" w:rsidR="00A1245C" w:rsidRPr="00405305" w:rsidRDefault="00A1245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 P</w:t>
      </w:r>
      <w:r w:rsidR="00D13830">
        <w:rPr>
          <w:rFonts w:asciiTheme="minorHAnsi" w:hAnsiTheme="minorHAnsi" w:cstheme="minorHAnsi"/>
        </w:rPr>
        <w:t>arti, inoltre, secondo quanto previsto dall’Avviso citato, nominano, quali componenti del Comitato di Pilotaggio</w:t>
      </w:r>
      <w:r w:rsidR="00405305">
        <w:rPr>
          <w:rFonts w:asciiTheme="minorHAnsi" w:hAnsiTheme="minorHAnsi" w:cstheme="minorHAnsi"/>
        </w:rPr>
        <w:t xml:space="preserve"> </w:t>
      </w:r>
      <w:r w:rsidRPr="00405305">
        <w:rPr>
          <w:rFonts w:asciiTheme="minorHAnsi" w:hAnsiTheme="minorHAnsi" w:cstheme="minorHAnsi"/>
        </w:rPr>
        <w:t>3 rappresentanti nominati da CGIL, CISL e UIL Regionali della Campania e 3 componenti nominati da Confindustria Campania, i cui riferimenti sono riportati di seguito: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4933"/>
        <w:gridCol w:w="2722"/>
      </w:tblGrid>
      <w:tr w:rsidR="009467B3" w:rsidRPr="005F1152" w14:paraId="487D8D49" w14:textId="63C1E166" w:rsidTr="009467B3">
        <w:trPr>
          <w:trHeight w:val="7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778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>NOME E COGNOME (Organizzazione)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3307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ORGANIZZAZIONE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C85" w14:textId="3DF8E4D6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TELEFONO</w:t>
            </w:r>
          </w:p>
        </w:tc>
      </w:tr>
      <w:tr w:rsidR="009467B3" w:rsidRPr="005F1152" w14:paraId="3437F8B2" w14:textId="7B143475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AE5" w14:textId="77777777" w:rsidR="009467B3" w:rsidRPr="005F1152" w:rsidRDefault="009467B3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Marcella Anzolin</w:t>
            </w:r>
          </w:p>
          <w:p w14:paraId="4822E0B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5E7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AE8" w14:textId="106FC5CE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200811</w:t>
            </w:r>
          </w:p>
        </w:tc>
      </w:tr>
      <w:tr w:rsidR="009467B3" w:rsidRPr="005F1152" w14:paraId="6BB7B8EF" w14:textId="566B309A" w:rsidTr="009467B3">
        <w:trPr>
          <w:trHeight w:val="52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489" w14:textId="0688C214" w:rsidR="009467B3" w:rsidRPr="005F1152" w:rsidRDefault="00AC234D" w:rsidP="009467B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Geneviève Masucci</w:t>
            </w:r>
          </w:p>
          <w:p w14:paraId="2EEB3DBD" w14:textId="77777777" w:rsidR="009467B3" w:rsidRPr="005F1152" w:rsidRDefault="009467B3" w:rsidP="009467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39B4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A7B" w14:textId="2B041E11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081.415664</w:t>
            </w:r>
          </w:p>
        </w:tc>
      </w:tr>
      <w:tr w:rsidR="009467B3" w:rsidRPr="005F1152" w14:paraId="7A7CDF15" w14:textId="1D4BA829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ABE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Libera D’Angelo</w:t>
            </w:r>
          </w:p>
          <w:p w14:paraId="39547E60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(Confindustria)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616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Confindustria Campania – Piazza Dei Martiri, 58 – 80121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0D0" w14:textId="58024EC9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5836111</w:t>
            </w:r>
          </w:p>
        </w:tc>
      </w:tr>
      <w:tr w:rsidR="009467B3" w:rsidRPr="005F1152" w14:paraId="2EE4DA98" w14:textId="754F162F" w:rsidTr="009467B3">
        <w:trPr>
          <w:trHeight w:val="59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67A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Antonella Pacilio</w:t>
            </w:r>
          </w:p>
          <w:p w14:paraId="107604E3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(CGIL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5A5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CGIL Campania – Via Torino, 16 -80142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F531" w14:textId="6B956256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63E7">
              <w:rPr>
                <w:rFonts w:asciiTheme="minorHAnsi" w:hAnsiTheme="minorHAnsi" w:cstheme="minorHAnsi"/>
                <w:sz w:val="22"/>
                <w:szCs w:val="22"/>
              </w:rPr>
              <w:t>19478228</w:t>
            </w:r>
          </w:p>
        </w:tc>
      </w:tr>
      <w:tr w:rsidR="009467B3" w:rsidRPr="005F1152" w14:paraId="7FE0A3A4" w14:textId="50555D33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DC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Maria Luisa Vignale</w:t>
            </w:r>
          </w:p>
          <w:p w14:paraId="2DCCB505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(CISL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407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CISL Campania – Via Medina,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5DD" w14:textId="5CEA7DF8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081.5529800</w:t>
            </w:r>
          </w:p>
        </w:tc>
      </w:tr>
      <w:tr w:rsidR="009467B3" w:rsidRPr="005F1152" w14:paraId="71097013" w14:textId="77B63567" w:rsidTr="009467B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D891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Espedito Stompanato</w:t>
            </w:r>
          </w:p>
          <w:p w14:paraId="6A6B149B" w14:textId="77777777" w:rsidR="009467B3" w:rsidRPr="005F1152" w:rsidRDefault="009467B3" w:rsidP="009467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z w:val="22"/>
                <w:szCs w:val="22"/>
              </w:rPr>
              <w:t>(UIL Campania)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7A9" w14:textId="77777777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5F1152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t>UIL Campania – Piazzale Immacolatella Nuova, 5 – 80133 Napoli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604" w14:textId="2AEF6F55" w:rsidR="009467B3" w:rsidRPr="005F1152" w:rsidRDefault="009467B3" w:rsidP="009467B3">
            <w:pPr>
              <w:rPr>
                <w:rFonts w:asciiTheme="minorHAnsi" w:hAnsiTheme="minorHAnsi" w:cstheme="minorHAnsi"/>
                <w:spacing w:val="-20"/>
                <w:sz w:val="22"/>
                <w:szCs w:val="22"/>
              </w:rPr>
            </w:pP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081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16D6">
              <w:rPr>
                <w:rFonts w:asciiTheme="minorHAnsi" w:hAnsiTheme="minorHAnsi" w:cstheme="minorHAnsi"/>
                <w:sz w:val="22"/>
                <w:szCs w:val="22"/>
              </w:rPr>
              <w:t>2252411</w:t>
            </w:r>
          </w:p>
        </w:tc>
      </w:tr>
    </w:tbl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076C70">
      <w:pPr>
        <w:spacing w:line="276" w:lineRule="auto"/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4C93B20A" w14:textId="77777777" w:rsidR="00AC234D" w:rsidRDefault="00AC234D" w:rsidP="005F11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F3CDA" w14:textId="169F2FD1" w:rsidR="00F648F3" w:rsidRPr="005F1152" w:rsidRDefault="00F648F3" w:rsidP="00AC23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</w:t>
      </w:r>
      <w:proofErr w:type="gramStart"/>
      <w:r w:rsidRPr="005F1152">
        <w:rPr>
          <w:rFonts w:asciiTheme="minorHAnsi" w:hAnsiTheme="minorHAnsi" w:cstheme="minorHAnsi"/>
          <w:b/>
          <w:sz w:val="22"/>
          <w:szCs w:val="22"/>
        </w:rPr>
        <w:t>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3176A89" w14:textId="77777777" w:rsidR="00AC234D" w:rsidRDefault="00AC234D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53033" w14:textId="072FC750" w:rsidR="00F648F3" w:rsidRDefault="00F648F3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ab/>
      </w:r>
      <w:r w:rsidR="00436427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87FC342" w14:textId="77777777" w:rsidR="00AC234D" w:rsidRDefault="00AC234D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9092" w14:textId="1AE79B26" w:rsidR="00F648F3" w:rsidRPr="005F1152" w:rsidRDefault="00F648F3" w:rsidP="00076C70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076C7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076C7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35A46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486"/>
        <w:gridCol w:w="146"/>
        <w:gridCol w:w="326"/>
        <w:gridCol w:w="128"/>
        <w:gridCol w:w="636"/>
        <w:gridCol w:w="577"/>
        <w:gridCol w:w="81"/>
        <w:gridCol w:w="31"/>
        <w:gridCol w:w="1516"/>
        <w:gridCol w:w="944"/>
        <w:gridCol w:w="761"/>
        <w:gridCol w:w="1705"/>
        <w:gridCol w:w="1135"/>
        <w:gridCol w:w="1136"/>
        <w:gridCol w:w="1770"/>
        <w:gridCol w:w="1877"/>
        <w:gridCol w:w="1568"/>
      </w:tblGrid>
      <w:tr w:rsidR="009662DA" w:rsidRPr="003B7279" w14:paraId="4C3242F4" w14:textId="77777777" w:rsidTr="009662DA">
        <w:trPr>
          <w:trHeight w:val="563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CCD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A28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9140" w14:textId="2FD06EDF" w:rsidR="009662DA" w:rsidRPr="003B7279" w:rsidRDefault="009662DA" w:rsidP="009662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9662DA" w:rsidRPr="003B7279" w14:paraId="21083D1E" w14:textId="5424CF12" w:rsidTr="009662DA">
        <w:trPr>
          <w:trHeight w:val="1286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F3F6A7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EE48A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08F57B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6245A4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2BA9018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DABA14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0C5724D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62C41B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6AE1D08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0912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1B27BFC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F4F94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770B02C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C76C0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2C39C2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55498FA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0218E8A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0A18F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4DBD7A4" w14:textId="77777777" w:rsidR="009662DA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36C68" w14:textId="77777777" w:rsidR="009662DA" w:rsidRPr="009662DA" w:rsidRDefault="009662DA" w:rsidP="009662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8B544" w14:textId="377928D7" w:rsidR="009662DA" w:rsidRPr="009662DA" w:rsidRDefault="009662DA" w:rsidP="00F26D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9662DA" w:rsidRPr="003B7279" w14:paraId="2827B6FD" w14:textId="6BBEAF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D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00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C6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9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67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8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78A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C4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28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5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8371279" w14:textId="673175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F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43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B8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E7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8C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6E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7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B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C0D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368B0A8" w14:textId="3A2DE938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B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00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E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323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6AE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6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55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8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D4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D01D206" w14:textId="00D72D5B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1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CA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6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DE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6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0A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199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A70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8F3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B9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B68662F" w14:textId="761D5B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D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C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8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F0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65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C1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DA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7B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CE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29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9B681AA" w14:textId="480ED867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D1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B1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9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5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E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3AE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F6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E2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E1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0D24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4A5320D5" w14:textId="5ADF554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3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A1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5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3EB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15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D9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95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62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2C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E8F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4445CF9" w14:textId="2A108FC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8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C3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7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42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4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8D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0001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1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61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06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F351FFF" w14:textId="5020FB1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9D4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07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26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DF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D41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7A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440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77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5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C22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95F77B2" w14:textId="47BFFE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99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3AD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2F6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8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B92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E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ABCC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09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C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833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630AACC" w14:textId="7BD7DEB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E0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97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B1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1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7D0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F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036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C9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3D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07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023F424" w14:textId="5AE22F7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1D7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1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07B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C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1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738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D32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40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A8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92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78B1A5D" w14:textId="6557B05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DE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48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EE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51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A9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A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9BB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C2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65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8E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4545759" w14:textId="5FA9253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64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3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26F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D9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890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85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5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8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C62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5F1152" w14:paraId="748FCB44" w14:textId="0D32C1F4" w:rsidTr="009662DA">
        <w:trPr>
          <w:gridBefore w:val="1"/>
          <w:gridAfter w:val="7"/>
          <w:wBefore w:w="619" w:type="dxa"/>
          <w:wAfter w:w="9952" w:type="dxa"/>
          <w:trHeight w:val="563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1A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763D0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DB72" w14:textId="77777777" w:rsidR="006F04B6" w:rsidRDefault="006F04B6" w:rsidP="004A260F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735A46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C7703" w14:textId="77777777" w:rsidR="00E266E5" w:rsidRDefault="00E266E5">
      <w:r>
        <w:separator/>
      </w:r>
    </w:p>
  </w:endnote>
  <w:endnote w:type="continuationSeparator" w:id="0">
    <w:p w14:paraId="36892396" w14:textId="77777777" w:rsidR="00E266E5" w:rsidRDefault="00E2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F4D43" w14:textId="77777777" w:rsidR="00E266E5" w:rsidRDefault="00E266E5">
      <w:r>
        <w:separator/>
      </w:r>
    </w:p>
  </w:footnote>
  <w:footnote w:type="continuationSeparator" w:id="0">
    <w:p w14:paraId="089D0386" w14:textId="77777777" w:rsidR="00E266E5" w:rsidRDefault="00E266E5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3CDBAE68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D470A4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DD1D8C">
      <w:rPr>
        <w:rFonts w:ascii="Verdana" w:hAnsi="Verdana"/>
        <w:b/>
        <w:sz w:val="16"/>
        <w:szCs w:val="16"/>
      </w:rPr>
      <w:t>5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08558FFF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D6684C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2E313C">
      <w:rPr>
        <w:rFonts w:ascii="Verdana" w:hAnsi="Verdana"/>
        <w:b/>
        <w:sz w:val="16"/>
        <w:szCs w:val="16"/>
      </w:rPr>
      <w:t>5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169A6"/>
    <w:rsid w:val="000337D9"/>
    <w:rsid w:val="00033F7B"/>
    <w:rsid w:val="00034B84"/>
    <w:rsid w:val="00036595"/>
    <w:rsid w:val="0004201F"/>
    <w:rsid w:val="000513EF"/>
    <w:rsid w:val="00072537"/>
    <w:rsid w:val="00075203"/>
    <w:rsid w:val="0007628F"/>
    <w:rsid w:val="000766FF"/>
    <w:rsid w:val="00076C70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21220"/>
    <w:rsid w:val="0012219D"/>
    <w:rsid w:val="00142222"/>
    <w:rsid w:val="00142E14"/>
    <w:rsid w:val="0015072D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B5C2F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DD0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E313C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14847"/>
    <w:rsid w:val="0042092B"/>
    <w:rsid w:val="004216A7"/>
    <w:rsid w:val="004218B5"/>
    <w:rsid w:val="00421FD6"/>
    <w:rsid w:val="0042579C"/>
    <w:rsid w:val="0043544F"/>
    <w:rsid w:val="00436427"/>
    <w:rsid w:val="00441A08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260F"/>
    <w:rsid w:val="004A4A2D"/>
    <w:rsid w:val="004B0EBE"/>
    <w:rsid w:val="004B1553"/>
    <w:rsid w:val="004D1267"/>
    <w:rsid w:val="004D42D3"/>
    <w:rsid w:val="004D62FC"/>
    <w:rsid w:val="004D638A"/>
    <w:rsid w:val="004E3DA1"/>
    <w:rsid w:val="004E494B"/>
    <w:rsid w:val="004E7CBF"/>
    <w:rsid w:val="004F05B4"/>
    <w:rsid w:val="004F4C5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031B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35A46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4C0C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1745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21A5"/>
    <w:rsid w:val="009540D7"/>
    <w:rsid w:val="00954BAD"/>
    <w:rsid w:val="00954DE5"/>
    <w:rsid w:val="0096056E"/>
    <w:rsid w:val="00963541"/>
    <w:rsid w:val="009662DA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271B"/>
    <w:rsid w:val="00A7375A"/>
    <w:rsid w:val="00A75424"/>
    <w:rsid w:val="00A7754C"/>
    <w:rsid w:val="00A8546D"/>
    <w:rsid w:val="00A9502B"/>
    <w:rsid w:val="00A96871"/>
    <w:rsid w:val="00A96AAF"/>
    <w:rsid w:val="00A97D3B"/>
    <w:rsid w:val="00AA0FAE"/>
    <w:rsid w:val="00AA26A3"/>
    <w:rsid w:val="00AB340E"/>
    <w:rsid w:val="00AB62AD"/>
    <w:rsid w:val="00AC180E"/>
    <w:rsid w:val="00AC234D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36659"/>
    <w:rsid w:val="00B54D8C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97C85"/>
    <w:rsid w:val="00BA00E8"/>
    <w:rsid w:val="00BB0079"/>
    <w:rsid w:val="00BB1400"/>
    <w:rsid w:val="00BB1A06"/>
    <w:rsid w:val="00BC40EE"/>
    <w:rsid w:val="00BC4CA0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39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526A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470A4"/>
    <w:rsid w:val="00D5115A"/>
    <w:rsid w:val="00D54B7F"/>
    <w:rsid w:val="00D5556B"/>
    <w:rsid w:val="00D61E65"/>
    <w:rsid w:val="00D6684C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4B52"/>
    <w:rsid w:val="00D85887"/>
    <w:rsid w:val="00D94573"/>
    <w:rsid w:val="00DA1F0B"/>
    <w:rsid w:val="00DA61ED"/>
    <w:rsid w:val="00DB126D"/>
    <w:rsid w:val="00DB358B"/>
    <w:rsid w:val="00DB398B"/>
    <w:rsid w:val="00DB6079"/>
    <w:rsid w:val="00DC02B8"/>
    <w:rsid w:val="00DC4CE5"/>
    <w:rsid w:val="00DC547D"/>
    <w:rsid w:val="00DD1D8C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266E5"/>
    <w:rsid w:val="00E27C93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6DC8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3</cp:revision>
  <cp:lastPrinted>2022-04-19T11:00:00Z</cp:lastPrinted>
  <dcterms:created xsi:type="dcterms:W3CDTF">2025-03-17T10:33:00Z</dcterms:created>
  <dcterms:modified xsi:type="dcterms:W3CDTF">2025-03-17T10:49:00Z</dcterms:modified>
</cp:coreProperties>
</file>